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4DBDE" w14:textId="77777777" w:rsidR="008C1147" w:rsidRDefault="00A41DA9">
      <w:pPr>
        <w:pStyle w:val="Title"/>
        <w:jc w:val="center"/>
      </w:pPr>
      <w:r>
        <w:t>Published Pupil Outcomes</w:t>
      </w:r>
    </w:p>
    <w:p w14:paraId="27A38A6C" w14:textId="77777777" w:rsidR="008C1147" w:rsidRDefault="00A41DA9">
      <w:pPr>
        <w:jc w:val="center"/>
      </w:pPr>
      <w:r>
        <w:rPr>
          <w:b/>
          <w:color w:val="6495ED"/>
          <w:sz w:val="28"/>
        </w:rPr>
        <w:t>Academic year 2024/25</w:t>
      </w:r>
    </w:p>
    <w:p w14:paraId="4802229B" w14:textId="77777777" w:rsidR="008C1147" w:rsidRDefault="00A41DA9">
      <w:pPr>
        <w:jc w:val="center"/>
      </w:pPr>
      <w:r>
        <w:rPr>
          <w:b/>
          <w:color w:val="2A417B"/>
        </w:rPr>
        <w:t>Ambition  |  Belonging  |  Kindness  |  Joy</w:t>
      </w:r>
    </w:p>
    <w:tbl>
      <w:tblPr>
        <w:tblW w:w="0" w:type="auto"/>
        <w:jc w:val="center"/>
        <w:tblBorders>
          <w:top w:val="single" w:sz="8" w:space="0" w:color="6495ED"/>
          <w:left w:val="single" w:sz="8" w:space="0" w:color="6495ED"/>
          <w:bottom w:val="single" w:sz="8" w:space="0" w:color="6495ED"/>
          <w:right w:val="single" w:sz="8" w:space="0" w:color="6495ED"/>
          <w:insideH w:val="single" w:sz="8" w:space="0" w:color="6495ED"/>
          <w:insideV w:val="single" w:sz="8" w:space="0" w:color="6495ED"/>
        </w:tblBorders>
        <w:tblLook w:val="04A0" w:firstRow="1" w:lastRow="0" w:firstColumn="1" w:lastColumn="0" w:noHBand="0" w:noVBand="1"/>
      </w:tblPr>
      <w:tblGrid>
        <w:gridCol w:w="10348"/>
      </w:tblGrid>
      <w:tr w:rsidR="008C1147" w14:paraId="5FD8840F" w14:textId="77777777">
        <w:trPr>
          <w:jc w:val="center"/>
        </w:trPr>
        <w:tc>
          <w:tcPr>
            <w:tcW w:w="10368" w:type="dxa"/>
            <w:shd w:val="clear" w:color="auto" w:fill="EDF4FF"/>
            <w:tcMar>
              <w:top w:w="150" w:type="dxa"/>
              <w:left w:w="180" w:type="dxa"/>
              <w:bottom w:w="150" w:type="dxa"/>
              <w:right w:w="180" w:type="dxa"/>
            </w:tcMar>
          </w:tcPr>
          <w:p w14:paraId="14F67831" w14:textId="77777777" w:rsidR="008C1147" w:rsidRDefault="00A41DA9">
            <w:pPr>
              <w:spacing w:after="60"/>
            </w:pPr>
            <w:r>
              <w:rPr>
                <w:b/>
                <w:color w:val="2A417B"/>
                <w:sz w:val="24"/>
              </w:rPr>
              <w:t>Our commitment to achievement</w:t>
            </w:r>
          </w:p>
          <w:p w14:paraId="4E6DA825" w14:textId="77777777" w:rsidR="008C1147" w:rsidRDefault="00A41DA9">
            <w:pPr>
              <w:spacing w:after="0"/>
            </w:pPr>
            <w:r>
              <w:t>At Stanwix, we are ambitious for every child. We use assessment carefully to understand achievement, celebrate success and identify where teaching or support should be strengthened. Our aim is that pupils achieve well from their starting points and leave Stanwix ready to thrive in the next stage of education.</w:t>
            </w:r>
          </w:p>
        </w:tc>
      </w:tr>
    </w:tbl>
    <w:p w14:paraId="104F0D84" w14:textId="77777777" w:rsidR="008C1147" w:rsidRDefault="00A41DA9">
      <w:pPr>
        <w:pStyle w:val="Heading1"/>
      </w:pPr>
      <w:r>
        <w:t>2024/25 headline outcomes</w:t>
      </w:r>
    </w:p>
    <w:p w14:paraId="43C6412B" w14:textId="77777777" w:rsidR="008C1147" w:rsidRDefault="00A41DA9">
      <w:pPr>
        <w:spacing w:after="120"/>
      </w:pPr>
      <w:r>
        <w:t>The figures below present the school’s externally assessed and statutory teacher-assessed outcomes for the 2024/25 academic year. Percentages may not total 100% because of rounding.</w:t>
      </w:r>
    </w:p>
    <w:p w14:paraId="27BEDBA6" w14:textId="77777777" w:rsidR="008C1147" w:rsidRDefault="00A41DA9">
      <w:pPr>
        <w:pStyle w:val="Heading2"/>
      </w:pPr>
      <w:r>
        <w:t>Reception: Good Level of Development</w:t>
      </w:r>
    </w:p>
    <w:tbl>
      <w:tblPr>
        <w:tblW w:w="0" w:type="auto"/>
        <w:jc w:val="center"/>
        <w:tblBorders>
          <w:top w:val="single" w:sz="6" w:space="0" w:color="D7E1F2"/>
          <w:left w:val="single" w:sz="6" w:space="0" w:color="D7E1F2"/>
          <w:bottom w:val="single" w:sz="6" w:space="0" w:color="D7E1F2"/>
          <w:right w:val="single" w:sz="6" w:space="0" w:color="D7E1F2"/>
          <w:insideH w:val="single" w:sz="6" w:space="0" w:color="D7E1F2"/>
          <w:insideV w:val="single" w:sz="6" w:space="0" w:color="D7E1F2"/>
        </w:tblBorders>
        <w:tblLayout w:type="fixed"/>
        <w:tblLook w:val="04A0" w:firstRow="1" w:lastRow="0" w:firstColumn="1" w:lastColumn="0" w:noHBand="0" w:noVBand="1"/>
      </w:tblPr>
      <w:tblGrid>
        <w:gridCol w:w="7776"/>
        <w:gridCol w:w="2160"/>
      </w:tblGrid>
      <w:tr w:rsidR="008C1147" w14:paraId="2FCC633C" w14:textId="77777777">
        <w:trPr>
          <w:tblHeader/>
          <w:jc w:val="center"/>
        </w:trPr>
        <w:tc>
          <w:tcPr>
            <w:tcW w:w="7776" w:type="dxa"/>
            <w:shd w:val="clear" w:color="auto" w:fill="2A417B"/>
            <w:tcMar>
              <w:top w:w="100" w:type="dxa"/>
              <w:left w:w="120" w:type="dxa"/>
              <w:bottom w:w="100" w:type="dxa"/>
              <w:right w:w="120" w:type="dxa"/>
            </w:tcMar>
            <w:vAlign w:val="center"/>
          </w:tcPr>
          <w:p w14:paraId="5FFD3EA7" w14:textId="77777777" w:rsidR="008C1147" w:rsidRDefault="00A41DA9">
            <w:pPr>
              <w:spacing w:after="0"/>
              <w:jc w:val="center"/>
            </w:pPr>
            <w:r>
              <w:rPr>
                <w:b/>
                <w:color w:val="FFFFFF"/>
                <w:sz w:val="18"/>
              </w:rPr>
              <w:t>Measure</w:t>
            </w:r>
          </w:p>
        </w:tc>
        <w:tc>
          <w:tcPr>
            <w:tcW w:w="2160" w:type="dxa"/>
            <w:shd w:val="clear" w:color="auto" w:fill="2A417B"/>
            <w:tcMar>
              <w:top w:w="100" w:type="dxa"/>
              <w:left w:w="120" w:type="dxa"/>
              <w:bottom w:w="100" w:type="dxa"/>
              <w:right w:w="120" w:type="dxa"/>
            </w:tcMar>
            <w:vAlign w:val="center"/>
          </w:tcPr>
          <w:p w14:paraId="11597439" w14:textId="77777777" w:rsidR="008C1147" w:rsidRDefault="00A41DA9">
            <w:pPr>
              <w:spacing w:after="0"/>
              <w:jc w:val="center"/>
            </w:pPr>
            <w:r>
              <w:rPr>
                <w:b/>
                <w:color w:val="FFFFFF"/>
                <w:sz w:val="18"/>
              </w:rPr>
              <w:t>Stanwix</w:t>
            </w:r>
          </w:p>
        </w:tc>
      </w:tr>
      <w:tr w:rsidR="008C1147" w14:paraId="40C9415B" w14:textId="77777777">
        <w:trPr>
          <w:jc w:val="center"/>
        </w:trPr>
        <w:tc>
          <w:tcPr>
            <w:tcW w:w="7776" w:type="dxa"/>
            <w:tcMar>
              <w:top w:w="100" w:type="dxa"/>
              <w:left w:w="120" w:type="dxa"/>
              <w:bottom w:w="100" w:type="dxa"/>
              <w:right w:w="120" w:type="dxa"/>
            </w:tcMar>
            <w:vAlign w:val="center"/>
          </w:tcPr>
          <w:p w14:paraId="4F07B4EF" w14:textId="77777777" w:rsidR="008C1147" w:rsidRDefault="00A41DA9">
            <w:pPr>
              <w:spacing w:after="0"/>
            </w:pPr>
            <w:r>
              <w:rPr>
                <w:b/>
                <w:sz w:val="19"/>
              </w:rPr>
              <w:t>Good Level of Development</w:t>
            </w:r>
          </w:p>
        </w:tc>
        <w:tc>
          <w:tcPr>
            <w:tcW w:w="2160" w:type="dxa"/>
            <w:tcMar>
              <w:top w:w="100" w:type="dxa"/>
              <w:left w:w="120" w:type="dxa"/>
              <w:bottom w:w="100" w:type="dxa"/>
              <w:right w:w="120" w:type="dxa"/>
            </w:tcMar>
            <w:vAlign w:val="center"/>
          </w:tcPr>
          <w:p w14:paraId="75B5213E" w14:textId="77777777" w:rsidR="008C1147" w:rsidRDefault="00A41DA9">
            <w:pPr>
              <w:spacing w:after="0"/>
              <w:jc w:val="center"/>
            </w:pPr>
            <w:r>
              <w:rPr>
                <w:sz w:val="19"/>
              </w:rPr>
              <w:t>72.7%</w:t>
            </w:r>
          </w:p>
        </w:tc>
      </w:tr>
    </w:tbl>
    <w:p w14:paraId="03DD2764" w14:textId="77777777" w:rsidR="008C1147" w:rsidRDefault="008C1147">
      <w:pPr>
        <w:spacing w:after="20"/>
      </w:pPr>
    </w:p>
    <w:p w14:paraId="563CC6F2" w14:textId="77777777" w:rsidR="008C1147" w:rsidRDefault="00A41DA9">
      <w:pPr>
        <w:pStyle w:val="Heading2"/>
      </w:pPr>
      <w:r>
        <w:t>Year 1 phonics screening check</w:t>
      </w:r>
    </w:p>
    <w:tbl>
      <w:tblPr>
        <w:tblW w:w="0" w:type="auto"/>
        <w:jc w:val="center"/>
        <w:tblBorders>
          <w:top w:val="single" w:sz="6" w:space="0" w:color="D7E1F2"/>
          <w:left w:val="single" w:sz="6" w:space="0" w:color="D7E1F2"/>
          <w:bottom w:val="single" w:sz="6" w:space="0" w:color="D7E1F2"/>
          <w:right w:val="single" w:sz="6" w:space="0" w:color="D7E1F2"/>
          <w:insideH w:val="single" w:sz="6" w:space="0" w:color="D7E1F2"/>
          <w:insideV w:val="single" w:sz="6" w:space="0" w:color="D7E1F2"/>
        </w:tblBorders>
        <w:tblLayout w:type="fixed"/>
        <w:tblLook w:val="04A0" w:firstRow="1" w:lastRow="0" w:firstColumn="1" w:lastColumn="0" w:noHBand="0" w:noVBand="1"/>
      </w:tblPr>
      <w:tblGrid>
        <w:gridCol w:w="7776"/>
        <w:gridCol w:w="2160"/>
      </w:tblGrid>
      <w:tr w:rsidR="008C1147" w14:paraId="26196BE4" w14:textId="77777777">
        <w:trPr>
          <w:tblHeader/>
          <w:jc w:val="center"/>
        </w:trPr>
        <w:tc>
          <w:tcPr>
            <w:tcW w:w="7776" w:type="dxa"/>
            <w:shd w:val="clear" w:color="auto" w:fill="2A417B"/>
            <w:tcMar>
              <w:top w:w="100" w:type="dxa"/>
              <w:left w:w="120" w:type="dxa"/>
              <w:bottom w:w="100" w:type="dxa"/>
              <w:right w:w="120" w:type="dxa"/>
            </w:tcMar>
            <w:vAlign w:val="center"/>
          </w:tcPr>
          <w:p w14:paraId="74A924C7" w14:textId="77777777" w:rsidR="008C1147" w:rsidRDefault="00A41DA9">
            <w:pPr>
              <w:spacing w:after="0"/>
              <w:jc w:val="center"/>
            </w:pPr>
            <w:r>
              <w:rPr>
                <w:b/>
                <w:color w:val="FFFFFF"/>
                <w:sz w:val="18"/>
              </w:rPr>
              <w:t>Measure</w:t>
            </w:r>
          </w:p>
        </w:tc>
        <w:tc>
          <w:tcPr>
            <w:tcW w:w="2160" w:type="dxa"/>
            <w:shd w:val="clear" w:color="auto" w:fill="2A417B"/>
            <w:tcMar>
              <w:top w:w="100" w:type="dxa"/>
              <w:left w:w="120" w:type="dxa"/>
              <w:bottom w:w="100" w:type="dxa"/>
              <w:right w:w="120" w:type="dxa"/>
            </w:tcMar>
            <w:vAlign w:val="center"/>
          </w:tcPr>
          <w:p w14:paraId="17F4D198" w14:textId="77777777" w:rsidR="008C1147" w:rsidRDefault="00A41DA9">
            <w:pPr>
              <w:spacing w:after="0"/>
              <w:jc w:val="center"/>
            </w:pPr>
            <w:r>
              <w:rPr>
                <w:b/>
                <w:color w:val="FFFFFF"/>
                <w:sz w:val="18"/>
              </w:rPr>
              <w:t>Stanwix</w:t>
            </w:r>
          </w:p>
        </w:tc>
      </w:tr>
      <w:tr w:rsidR="008C1147" w14:paraId="7616DD6E" w14:textId="77777777">
        <w:trPr>
          <w:jc w:val="center"/>
        </w:trPr>
        <w:tc>
          <w:tcPr>
            <w:tcW w:w="7776" w:type="dxa"/>
            <w:tcMar>
              <w:top w:w="100" w:type="dxa"/>
              <w:left w:w="120" w:type="dxa"/>
              <w:bottom w:w="100" w:type="dxa"/>
              <w:right w:w="120" w:type="dxa"/>
            </w:tcMar>
            <w:vAlign w:val="center"/>
          </w:tcPr>
          <w:p w14:paraId="384CE218" w14:textId="77777777" w:rsidR="008C1147" w:rsidRDefault="00A41DA9">
            <w:pPr>
              <w:spacing w:after="0"/>
            </w:pPr>
            <w:r>
              <w:rPr>
                <w:b/>
                <w:sz w:val="19"/>
              </w:rPr>
              <w:t>Met the expected standard</w:t>
            </w:r>
          </w:p>
        </w:tc>
        <w:tc>
          <w:tcPr>
            <w:tcW w:w="2160" w:type="dxa"/>
            <w:tcMar>
              <w:top w:w="100" w:type="dxa"/>
              <w:left w:w="120" w:type="dxa"/>
              <w:bottom w:w="100" w:type="dxa"/>
              <w:right w:w="120" w:type="dxa"/>
            </w:tcMar>
            <w:vAlign w:val="center"/>
          </w:tcPr>
          <w:p w14:paraId="788A8B81" w14:textId="77777777" w:rsidR="008C1147" w:rsidRDefault="00A41DA9">
            <w:pPr>
              <w:spacing w:after="0"/>
              <w:jc w:val="center"/>
            </w:pPr>
            <w:r>
              <w:rPr>
                <w:sz w:val="19"/>
              </w:rPr>
              <w:t>85%</w:t>
            </w:r>
          </w:p>
        </w:tc>
      </w:tr>
    </w:tbl>
    <w:p w14:paraId="6639B1AE" w14:textId="77777777" w:rsidR="008C1147" w:rsidRDefault="008C1147">
      <w:pPr>
        <w:spacing w:after="20"/>
      </w:pPr>
    </w:p>
    <w:p w14:paraId="4E624FA1" w14:textId="77777777" w:rsidR="008C1147" w:rsidRDefault="00A41DA9">
      <w:pPr>
        <w:pStyle w:val="Heading2"/>
      </w:pPr>
      <w:r>
        <w:t>Year 4 multiplication tables check</w:t>
      </w:r>
    </w:p>
    <w:tbl>
      <w:tblPr>
        <w:tblW w:w="0" w:type="auto"/>
        <w:jc w:val="center"/>
        <w:tblBorders>
          <w:top w:val="single" w:sz="6" w:space="0" w:color="D7E1F2"/>
          <w:left w:val="single" w:sz="6" w:space="0" w:color="D7E1F2"/>
          <w:bottom w:val="single" w:sz="6" w:space="0" w:color="D7E1F2"/>
          <w:right w:val="single" w:sz="6" w:space="0" w:color="D7E1F2"/>
          <w:insideH w:val="single" w:sz="6" w:space="0" w:color="D7E1F2"/>
          <w:insideV w:val="single" w:sz="6" w:space="0" w:color="D7E1F2"/>
        </w:tblBorders>
        <w:tblLayout w:type="fixed"/>
        <w:tblLook w:val="04A0" w:firstRow="1" w:lastRow="0" w:firstColumn="1" w:lastColumn="0" w:noHBand="0" w:noVBand="1"/>
      </w:tblPr>
      <w:tblGrid>
        <w:gridCol w:w="7776"/>
        <w:gridCol w:w="2160"/>
      </w:tblGrid>
      <w:tr w:rsidR="008C1147" w14:paraId="4603C040" w14:textId="77777777">
        <w:trPr>
          <w:tblHeader/>
          <w:jc w:val="center"/>
        </w:trPr>
        <w:tc>
          <w:tcPr>
            <w:tcW w:w="7776" w:type="dxa"/>
            <w:shd w:val="clear" w:color="auto" w:fill="2A417B"/>
            <w:tcMar>
              <w:top w:w="100" w:type="dxa"/>
              <w:left w:w="120" w:type="dxa"/>
              <w:bottom w:w="100" w:type="dxa"/>
              <w:right w:w="120" w:type="dxa"/>
            </w:tcMar>
            <w:vAlign w:val="center"/>
          </w:tcPr>
          <w:p w14:paraId="2C95B126" w14:textId="77777777" w:rsidR="008C1147" w:rsidRDefault="00A41DA9">
            <w:pPr>
              <w:spacing w:after="0"/>
              <w:jc w:val="center"/>
            </w:pPr>
            <w:r>
              <w:rPr>
                <w:b/>
                <w:color w:val="FFFFFF"/>
                <w:sz w:val="18"/>
              </w:rPr>
              <w:t>Measure</w:t>
            </w:r>
          </w:p>
        </w:tc>
        <w:tc>
          <w:tcPr>
            <w:tcW w:w="2160" w:type="dxa"/>
            <w:shd w:val="clear" w:color="auto" w:fill="2A417B"/>
            <w:tcMar>
              <w:top w:w="100" w:type="dxa"/>
              <w:left w:w="120" w:type="dxa"/>
              <w:bottom w:w="100" w:type="dxa"/>
              <w:right w:w="120" w:type="dxa"/>
            </w:tcMar>
            <w:vAlign w:val="center"/>
          </w:tcPr>
          <w:p w14:paraId="05B9DA99" w14:textId="77777777" w:rsidR="008C1147" w:rsidRDefault="00A41DA9">
            <w:pPr>
              <w:spacing w:after="0"/>
              <w:jc w:val="center"/>
            </w:pPr>
            <w:r>
              <w:rPr>
                <w:b/>
                <w:color w:val="FFFFFF"/>
                <w:sz w:val="18"/>
              </w:rPr>
              <w:t>Stanwix</w:t>
            </w:r>
          </w:p>
        </w:tc>
      </w:tr>
      <w:tr w:rsidR="008C1147" w14:paraId="1EAE7000" w14:textId="77777777">
        <w:trPr>
          <w:jc w:val="center"/>
        </w:trPr>
        <w:tc>
          <w:tcPr>
            <w:tcW w:w="7776" w:type="dxa"/>
            <w:tcMar>
              <w:top w:w="100" w:type="dxa"/>
              <w:left w:w="120" w:type="dxa"/>
              <w:bottom w:w="100" w:type="dxa"/>
              <w:right w:w="120" w:type="dxa"/>
            </w:tcMar>
            <w:vAlign w:val="center"/>
          </w:tcPr>
          <w:p w14:paraId="18F33896" w14:textId="77777777" w:rsidR="008C1147" w:rsidRDefault="00A41DA9">
            <w:pPr>
              <w:spacing w:after="0"/>
            </w:pPr>
            <w:r>
              <w:rPr>
                <w:b/>
                <w:sz w:val="19"/>
              </w:rPr>
              <w:t>Achieved full marks (25/25)</w:t>
            </w:r>
          </w:p>
        </w:tc>
        <w:tc>
          <w:tcPr>
            <w:tcW w:w="2160" w:type="dxa"/>
            <w:tcMar>
              <w:top w:w="100" w:type="dxa"/>
              <w:left w:w="120" w:type="dxa"/>
              <w:bottom w:w="100" w:type="dxa"/>
              <w:right w:w="120" w:type="dxa"/>
            </w:tcMar>
            <w:vAlign w:val="center"/>
          </w:tcPr>
          <w:p w14:paraId="45CE8418" w14:textId="77777777" w:rsidR="008C1147" w:rsidRDefault="00A41DA9">
            <w:pPr>
              <w:spacing w:after="0"/>
              <w:jc w:val="center"/>
            </w:pPr>
            <w:r>
              <w:rPr>
                <w:sz w:val="19"/>
              </w:rPr>
              <w:t>20.3%</w:t>
            </w:r>
          </w:p>
        </w:tc>
      </w:tr>
      <w:tr w:rsidR="008C1147" w14:paraId="0B216DF2" w14:textId="77777777">
        <w:trPr>
          <w:jc w:val="center"/>
        </w:trPr>
        <w:tc>
          <w:tcPr>
            <w:tcW w:w="7776" w:type="dxa"/>
            <w:shd w:val="clear" w:color="auto" w:fill="F7F9FC"/>
            <w:tcMar>
              <w:top w:w="100" w:type="dxa"/>
              <w:left w:w="120" w:type="dxa"/>
              <w:bottom w:w="100" w:type="dxa"/>
              <w:right w:w="120" w:type="dxa"/>
            </w:tcMar>
            <w:vAlign w:val="center"/>
          </w:tcPr>
          <w:p w14:paraId="250B7D54" w14:textId="77777777" w:rsidR="008C1147" w:rsidRDefault="00A41DA9">
            <w:pPr>
              <w:spacing w:after="0"/>
            </w:pPr>
            <w:r>
              <w:rPr>
                <w:b/>
                <w:sz w:val="19"/>
              </w:rPr>
              <w:t>Scored 20 or more</w:t>
            </w:r>
          </w:p>
        </w:tc>
        <w:tc>
          <w:tcPr>
            <w:tcW w:w="2160" w:type="dxa"/>
            <w:shd w:val="clear" w:color="auto" w:fill="F7F9FC"/>
            <w:tcMar>
              <w:top w:w="100" w:type="dxa"/>
              <w:left w:w="120" w:type="dxa"/>
              <w:bottom w:w="100" w:type="dxa"/>
              <w:right w:w="120" w:type="dxa"/>
            </w:tcMar>
            <w:vAlign w:val="center"/>
          </w:tcPr>
          <w:p w14:paraId="44D3C460" w14:textId="77777777" w:rsidR="008C1147" w:rsidRDefault="00A41DA9">
            <w:pPr>
              <w:spacing w:after="0"/>
              <w:jc w:val="center"/>
            </w:pPr>
            <w:r>
              <w:rPr>
                <w:sz w:val="19"/>
              </w:rPr>
              <w:t>59.3%</w:t>
            </w:r>
          </w:p>
        </w:tc>
      </w:tr>
    </w:tbl>
    <w:p w14:paraId="1C8392F1" w14:textId="77777777" w:rsidR="008C1147" w:rsidRDefault="008C1147">
      <w:pPr>
        <w:spacing w:after="20"/>
      </w:pPr>
    </w:p>
    <w:p w14:paraId="7EA8D999" w14:textId="77777777" w:rsidR="008C1147" w:rsidRDefault="00A41DA9">
      <w:pPr>
        <w:pStyle w:val="Heading2"/>
      </w:pPr>
      <w:r>
        <w:t>Key Stage 2 attainment</w:t>
      </w:r>
    </w:p>
    <w:tbl>
      <w:tblPr>
        <w:tblW w:w="0" w:type="auto"/>
        <w:jc w:val="center"/>
        <w:tblBorders>
          <w:top w:val="single" w:sz="6" w:space="0" w:color="D7E1F2"/>
          <w:left w:val="single" w:sz="6" w:space="0" w:color="D7E1F2"/>
          <w:bottom w:val="single" w:sz="6" w:space="0" w:color="D7E1F2"/>
          <w:right w:val="single" w:sz="6" w:space="0" w:color="D7E1F2"/>
          <w:insideH w:val="single" w:sz="6" w:space="0" w:color="D7E1F2"/>
          <w:insideV w:val="single" w:sz="6" w:space="0" w:color="D7E1F2"/>
        </w:tblBorders>
        <w:tblLayout w:type="fixed"/>
        <w:tblLook w:val="04A0" w:firstRow="1" w:lastRow="0" w:firstColumn="1" w:lastColumn="0" w:noHBand="0" w:noVBand="1"/>
      </w:tblPr>
      <w:tblGrid>
        <w:gridCol w:w="5472"/>
        <w:gridCol w:w="2232"/>
        <w:gridCol w:w="2232"/>
      </w:tblGrid>
      <w:tr w:rsidR="008C1147" w14:paraId="75055E4A" w14:textId="77777777">
        <w:trPr>
          <w:tblHeader/>
          <w:jc w:val="center"/>
        </w:trPr>
        <w:tc>
          <w:tcPr>
            <w:tcW w:w="5472" w:type="dxa"/>
            <w:shd w:val="clear" w:color="auto" w:fill="2A417B"/>
            <w:tcMar>
              <w:top w:w="100" w:type="dxa"/>
              <w:left w:w="120" w:type="dxa"/>
              <w:bottom w:w="100" w:type="dxa"/>
              <w:right w:w="120" w:type="dxa"/>
            </w:tcMar>
            <w:vAlign w:val="center"/>
          </w:tcPr>
          <w:p w14:paraId="2EB0CFAC" w14:textId="77777777" w:rsidR="008C1147" w:rsidRDefault="00A41DA9">
            <w:pPr>
              <w:spacing w:after="0"/>
              <w:jc w:val="center"/>
            </w:pPr>
            <w:r>
              <w:rPr>
                <w:b/>
                <w:color w:val="FFFFFF"/>
                <w:sz w:val="18"/>
              </w:rPr>
              <w:t>Subject</w:t>
            </w:r>
          </w:p>
        </w:tc>
        <w:tc>
          <w:tcPr>
            <w:tcW w:w="2232" w:type="dxa"/>
            <w:shd w:val="clear" w:color="auto" w:fill="2A417B"/>
            <w:tcMar>
              <w:top w:w="100" w:type="dxa"/>
              <w:left w:w="120" w:type="dxa"/>
              <w:bottom w:w="100" w:type="dxa"/>
              <w:right w:w="120" w:type="dxa"/>
            </w:tcMar>
            <w:vAlign w:val="center"/>
          </w:tcPr>
          <w:p w14:paraId="501BD486" w14:textId="77777777" w:rsidR="008C1147" w:rsidRDefault="00A41DA9">
            <w:pPr>
              <w:spacing w:after="0"/>
              <w:jc w:val="center"/>
            </w:pPr>
            <w:r>
              <w:rPr>
                <w:b/>
                <w:color w:val="FFFFFF"/>
                <w:sz w:val="18"/>
              </w:rPr>
              <w:t>Expected standard</w:t>
            </w:r>
          </w:p>
        </w:tc>
        <w:tc>
          <w:tcPr>
            <w:tcW w:w="2232" w:type="dxa"/>
            <w:shd w:val="clear" w:color="auto" w:fill="2A417B"/>
            <w:tcMar>
              <w:top w:w="100" w:type="dxa"/>
              <w:left w:w="120" w:type="dxa"/>
              <w:bottom w:w="100" w:type="dxa"/>
              <w:right w:w="120" w:type="dxa"/>
            </w:tcMar>
            <w:vAlign w:val="center"/>
          </w:tcPr>
          <w:p w14:paraId="56B4E6C1" w14:textId="77777777" w:rsidR="008C1147" w:rsidRDefault="00A41DA9">
            <w:pPr>
              <w:spacing w:after="0"/>
              <w:jc w:val="center"/>
            </w:pPr>
            <w:r>
              <w:rPr>
                <w:b/>
                <w:color w:val="FFFFFF"/>
                <w:sz w:val="18"/>
              </w:rPr>
              <w:t>Higher standard</w:t>
            </w:r>
          </w:p>
        </w:tc>
      </w:tr>
      <w:tr w:rsidR="008C1147" w14:paraId="39A91DF9" w14:textId="77777777">
        <w:trPr>
          <w:jc w:val="center"/>
        </w:trPr>
        <w:tc>
          <w:tcPr>
            <w:tcW w:w="5472" w:type="dxa"/>
            <w:tcMar>
              <w:top w:w="100" w:type="dxa"/>
              <w:left w:w="120" w:type="dxa"/>
              <w:bottom w:w="100" w:type="dxa"/>
              <w:right w:w="120" w:type="dxa"/>
            </w:tcMar>
            <w:vAlign w:val="center"/>
          </w:tcPr>
          <w:p w14:paraId="69FF3777" w14:textId="77777777" w:rsidR="008C1147" w:rsidRDefault="00A41DA9">
            <w:pPr>
              <w:spacing w:after="0"/>
            </w:pPr>
            <w:r>
              <w:rPr>
                <w:b/>
                <w:sz w:val="19"/>
              </w:rPr>
              <w:t>Reading</w:t>
            </w:r>
          </w:p>
        </w:tc>
        <w:tc>
          <w:tcPr>
            <w:tcW w:w="2232" w:type="dxa"/>
            <w:tcMar>
              <w:top w:w="100" w:type="dxa"/>
              <w:left w:w="120" w:type="dxa"/>
              <w:bottom w:w="100" w:type="dxa"/>
              <w:right w:w="120" w:type="dxa"/>
            </w:tcMar>
            <w:vAlign w:val="center"/>
          </w:tcPr>
          <w:p w14:paraId="7EFFB05C" w14:textId="77777777" w:rsidR="008C1147" w:rsidRDefault="00A41DA9">
            <w:pPr>
              <w:spacing w:after="0"/>
              <w:jc w:val="center"/>
            </w:pPr>
            <w:r>
              <w:rPr>
                <w:sz w:val="19"/>
              </w:rPr>
              <w:t>84.6%</w:t>
            </w:r>
          </w:p>
        </w:tc>
        <w:tc>
          <w:tcPr>
            <w:tcW w:w="2232" w:type="dxa"/>
            <w:tcMar>
              <w:top w:w="100" w:type="dxa"/>
              <w:left w:w="120" w:type="dxa"/>
              <w:bottom w:w="100" w:type="dxa"/>
              <w:right w:w="120" w:type="dxa"/>
            </w:tcMar>
            <w:vAlign w:val="center"/>
          </w:tcPr>
          <w:p w14:paraId="321DBB59" w14:textId="77777777" w:rsidR="008C1147" w:rsidRDefault="00A41DA9">
            <w:pPr>
              <w:spacing w:after="0"/>
              <w:jc w:val="center"/>
            </w:pPr>
            <w:r>
              <w:rPr>
                <w:sz w:val="19"/>
              </w:rPr>
              <w:t>40%</w:t>
            </w:r>
          </w:p>
        </w:tc>
      </w:tr>
      <w:tr w:rsidR="008C1147" w14:paraId="7063FFB7" w14:textId="77777777">
        <w:trPr>
          <w:jc w:val="center"/>
        </w:trPr>
        <w:tc>
          <w:tcPr>
            <w:tcW w:w="5472" w:type="dxa"/>
            <w:shd w:val="clear" w:color="auto" w:fill="F7F9FC"/>
            <w:tcMar>
              <w:top w:w="100" w:type="dxa"/>
              <w:left w:w="120" w:type="dxa"/>
              <w:bottom w:w="100" w:type="dxa"/>
              <w:right w:w="120" w:type="dxa"/>
            </w:tcMar>
            <w:vAlign w:val="center"/>
          </w:tcPr>
          <w:p w14:paraId="27EFAEBA" w14:textId="77777777" w:rsidR="008C1147" w:rsidRDefault="00A41DA9">
            <w:pPr>
              <w:spacing w:after="0"/>
            </w:pPr>
            <w:r>
              <w:rPr>
                <w:b/>
                <w:sz w:val="19"/>
              </w:rPr>
              <w:t>Writing</w:t>
            </w:r>
          </w:p>
        </w:tc>
        <w:tc>
          <w:tcPr>
            <w:tcW w:w="2232" w:type="dxa"/>
            <w:shd w:val="clear" w:color="auto" w:fill="F7F9FC"/>
            <w:tcMar>
              <w:top w:w="100" w:type="dxa"/>
              <w:left w:w="120" w:type="dxa"/>
              <w:bottom w:w="100" w:type="dxa"/>
              <w:right w:w="120" w:type="dxa"/>
            </w:tcMar>
            <w:vAlign w:val="center"/>
          </w:tcPr>
          <w:p w14:paraId="310EE42C" w14:textId="77777777" w:rsidR="008C1147" w:rsidRDefault="00A41DA9">
            <w:pPr>
              <w:spacing w:after="0"/>
              <w:jc w:val="center"/>
            </w:pPr>
            <w:r>
              <w:rPr>
                <w:sz w:val="19"/>
              </w:rPr>
              <w:t>66%</w:t>
            </w:r>
          </w:p>
        </w:tc>
        <w:tc>
          <w:tcPr>
            <w:tcW w:w="2232" w:type="dxa"/>
            <w:shd w:val="clear" w:color="auto" w:fill="F7F9FC"/>
            <w:tcMar>
              <w:top w:w="100" w:type="dxa"/>
              <w:left w:w="120" w:type="dxa"/>
              <w:bottom w:w="100" w:type="dxa"/>
              <w:right w:w="120" w:type="dxa"/>
            </w:tcMar>
            <w:vAlign w:val="center"/>
          </w:tcPr>
          <w:p w14:paraId="23543438" w14:textId="77777777" w:rsidR="008C1147" w:rsidRDefault="00A41DA9">
            <w:pPr>
              <w:spacing w:after="0"/>
              <w:jc w:val="center"/>
            </w:pPr>
            <w:r>
              <w:rPr>
                <w:sz w:val="19"/>
              </w:rPr>
              <w:t>4%</w:t>
            </w:r>
          </w:p>
        </w:tc>
      </w:tr>
      <w:tr w:rsidR="008C1147" w14:paraId="64BEF61C" w14:textId="77777777">
        <w:trPr>
          <w:jc w:val="center"/>
        </w:trPr>
        <w:tc>
          <w:tcPr>
            <w:tcW w:w="5472" w:type="dxa"/>
            <w:tcMar>
              <w:top w:w="100" w:type="dxa"/>
              <w:left w:w="120" w:type="dxa"/>
              <w:bottom w:w="100" w:type="dxa"/>
              <w:right w:w="120" w:type="dxa"/>
            </w:tcMar>
            <w:vAlign w:val="center"/>
          </w:tcPr>
          <w:p w14:paraId="4755F23C" w14:textId="77777777" w:rsidR="008C1147" w:rsidRDefault="00A41DA9">
            <w:pPr>
              <w:spacing w:after="0"/>
            </w:pPr>
            <w:r>
              <w:rPr>
                <w:b/>
                <w:sz w:val="19"/>
              </w:rPr>
              <w:lastRenderedPageBreak/>
              <w:t>Mathematics</w:t>
            </w:r>
          </w:p>
        </w:tc>
        <w:tc>
          <w:tcPr>
            <w:tcW w:w="2232" w:type="dxa"/>
            <w:tcMar>
              <w:top w:w="100" w:type="dxa"/>
              <w:left w:w="120" w:type="dxa"/>
              <w:bottom w:w="100" w:type="dxa"/>
              <w:right w:w="120" w:type="dxa"/>
            </w:tcMar>
            <w:vAlign w:val="center"/>
          </w:tcPr>
          <w:p w14:paraId="473AD139" w14:textId="77777777" w:rsidR="008C1147" w:rsidRDefault="00A41DA9">
            <w:pPr>
              <w:spacing w:after="0"/>
              <w:jc w:val="center"/>
            </w:pPr>
            <w:r>
              <w:rPr>
                <w:sz w:val="19"/>
              </w:rPr>
              <w:t>73.8%</w:t>
            </w:r>
          </w:p>
        </w:tc>
        <w:tc>
          <w:tcPr>
            <w:tcW w:w="2232" w:type="dxa"/>
            <w:tcMar>
              <w:top w:w="100" w:type="dxa"/>
              <w:left w:w="120" w:type="dxa"/>
              <w:bottom w:w="100" w:type="dxa"/>
              <w:right w:w="120" w:type="dxa"/>
            </w:tcMar>
            <w:vAlign w:val="center"/>
          </w:tcPr>
          <w:p w14:paraId="367940FD" w14:textId="77777777" w:rsidR="008C1147" w:rsidRDefault="00A41DA9">
            <w:pPr>
              <w:spacing w:after="0"/>
              <w:jc w:val="center"/>
            </w:pPr>
            <w:r>
              <w:rPr>
                <w:sz w:val="19"/>
              </w:rPr>
              <w:t>21.5%</w:t>
            </w:r>
          </w:p>
        </w:tc>
      </w:tr>
      <w:tr w:rsidR="008C1147" w14:paraId="5C6F814A" w14:textId="77777777">
        <w:trPr>
          <w:jc w:val="center"/>
        </w:trPr>
        <w:tc>
          <w:tcPr>
            <w:tcW w:w="5472" w:type="dxa"/>
            <w:shd w:val="clear" w:color="auto" w:fill="F7F9FC"/>
            <w:tcMar>
              <w:top w:w="100" w:type="dxa"/>
              <w:left w:w="120" w:type="dxa"/>
              <w:bottom w:w="100" w:type="dxa"/>
              <w:right w:w="120" w:type="dxa"/>
            </w:tcMar>
            <w:vAlign w:val="center"/>
          </w:tcPr>
          <w:p w14:paraId="0CF485F6" w14:textId="77777777" w:rsidR="008C1147" w:rsidRDefault="00A41DA9">
            <w:pPr>
              <w:spacing w:after="0"/>
            </w:pPr>
            <w:r>
              <w:rPr>
                <w:b/>
                <w:sz w:val="19"/>
              </w:rPr>
              <w:t>Grammar, punctuation and spelling</w:t>
            </w:r>
          </w:p>
        </w:tc>
        <w:tc>
          <w:tcPr>
            <w:tcW w:w="2232" w:type="dxa"/>
            <w:shd w:val="clear" w:color="auto" w:fill="F7F9FC"/>
            <w:tcMar>
              <w:top w:w="100" w:type="dxa"/>
              <w:left w:w="120" w:type="dxa"/>
              <w:bottom w:w="100" w:type="dxa"/>
              <w:right w:w="120" w:type="dxa"/>
            </w:tcMar>
            <w:vAlign w:val="center"/>
          </w:tcPr>
          <w:p w14:paraId="1BC3F687" w14:textId="77777777" w:rsidR="008C1147" w:rsidRDefault="00A41DA9">
            <w:pPr>
              <w:spacing w:after="0"/>
              <w:jc w:val="center"/>
            </w:pPr>
            <w:r>
              <w:rPr>
                <w:sz w:val="19"/>
              </w:rPr>
              <w:t>83%</w:t>
            </w:r>
          </w:p>
        </w:tc>
        <w:tc>
          <w:tcPr>
            <w:tcW w:w="2232" w:type="dxa"/>
            <w:shd w:val="clear" w:color="auto" w:fill="F7F9FC"/>
            <w:tcMar>
              <w:top w:w="100" w:type="dxa"/>
              <w:left w:w="120" w:type="dxa"/>
              <w:bottom w:w="100" w:type="dxa"/>
              <w:right w:w="120" w:type="dxa"/>
            </w:tcMar>
            <w:vAlign w:val="center"/>
          </w:tcPr>
          <w:p w14:paraId="47D54972" w14:textId="77777777" w:rsidR="008C1147" w:rsidRDefault="00A41DA9">
            <w:pPr>
              <w:spacing w:after="0"/>
              <w:jc w:val="center"/>
            </w:pPr>
            <w:r>
              <w:rPr>
                <w:sz w:val="19"/>
              </w:rPr>
              <w:t>35.4%</w:t>
            </w:r>
          </w:p>
        </w:tc>
      </w:tr>
      <w:tr w:rsidR="008C1147" w14:paraId="310AC0F9" w14:textId="77777777">
        <w:trPr>
          <w:jc w:val="center"/>
        </w:trPr>
        <w:tc>
          <w:tcPr>
            <w:tcW w:w="5472" w:type="dxa"/>
            <w:tcMar>
              <w:top w:w="100" w:type="dxa"/>
              <w:left w:w="120" w:type="dxa"/>
              <w:bottom w:w="100" w:type="dxa"/>
              <w:right w:w="120" w:type="dxa"/>
            </w:tcMar>
            <w:vAlign w:val="center"/>
          </w:tcPr>
          <w:p w14:paraId="3CBFDCC8" w14:textId="77777777" w:rsidR="008C1147" w:rsidRDefault="00A41DA9">
            <w:pPr>
              <w:spacing w:after="0"/>
            </w:pPr>
            <w:r>
              <w:rPr>
                <w:b/>
                <w:sz w:val="19"/>
              </w:rPr>
              <w:t>Science</w:t>
            </w:r>
          </w:p>
        </w:tc>
        <w:tc>
          <w:tcPr>
            <w:tcW w:w="2232" w:type="dxa"/>
            <w:tcMar>
              <w:top w:w="100" w:type="dxa"/>
              <w:left w:w="120" w:type="dxa"/>
              <w:bottom w:w="100" w:type="dxa"/>
              <w:right w:w="120" w:type="dxa"/>
            </w:tcMar>
            <w:vAlign w:val="center"/>
          </w:tcPr>
          <w:p w14:paraId="2785C9E3" w14:textId="77777777" w:rsidR="008C1147" w:rsidRDefault="00A41DA9">
            <w:pPr>
              <w:spacing w:after="0"/>
              <w:jc w:val="center"/>
            </w:pPr>
            <w:r>
              <w:rPr>
                <w:sz w:val="19"/>
              </w:rPr>
              <w:t>89%</w:t>
            </w:r>
          </w:p>
        </w:tc>
        <w:tc>
          <w:tcPr>
            <w:tcW w:w="2232" w:type="dxa"/>
            <w:tcMar>
              <w:top w:w="100" w:type="dxa"/>
              <w:left w:w="120" w:type="dxa"/>
              <w:bottom w:w="100" w:type="dxa"/>
              <w:right w:w="120" w:type="dxa"/>
            </w:tcMar>
            <w:vAlign w:val="center"/>
          </w:tcPr>
          <w:p w14:paraId="529ECC26" w14:textId="77777777" w:rsidR="008C1147" w:rsidRDefault="00A41DA9">
            <w:pPr>
              <w:spacing w:after="0"/>
              <w:jc w:val="center"/>
            </w:pPr>
            <w:r>
              <w:rPr>
                <w:sz w:val="19"/>
              </w:rPr>
              <w:t>Not applicable</w:t>
            </w:r>
          </w:p>
        </w:tc>
      </w:tr>
      <w:tr w:rsidR="008C1147" w14:paraId="72F6EA1F" w14:textId="77777777">
        <w:trPr>
          <w:jc w:val="center"/>
        </w:trPr>
        <w:tc>
          <w:tcPr>
            <w:tcW w:w="5472" w:type="dxa"/>
            <w:shd w:val="clear" w:color="auto" w:fill="F7F9FC"/>
            <w:tcMar>
              <w:top w:w="100" w:type="dxa"/>
              <w:left w:w="120" w:type="dxa"/>
              <w:bottom w:w="100" w:type="dxa"/>
              <w:right w:w="120" w:type="dxa"/>
            </w:tcMar>
            <w:vAlign w:val="center"/>
          </w:tcPr>
          <w:p w14:paraId="0499CAE8" w14:textId="77777777" w:rsidR="008C1147" w:rsidRDefault="00A41DA9">
            <w:pPr>
              <w:spacing w:after="0"/>
            </w:pPr>
            <w:r>
              <w:rPr>
                <w:b/>
                <w:sz w:val="19"/>
              </w:rPr>
              <w:t>Reading, writing and mathematics combined</w:t>
            </w:r>
          </w:p>
        </w:tc>
        <w:tc>
          <w:tcPr>
            <w:tcW w:w="2232" w:type="dxa"/>
            <w:shd w:val="clear" w:color="auto" w:fill="F7F9FC"/>
            <w:tcMar>
              <w:top w:w="100" w:type="dxa"/>
              <w:left w:w="120" w:type="dxa"/>
              <w:bottom w:w="100" w:type="dxa"/>
              <w:right w:w="120" w:type="dxa"/>
            </w:tcMar>
            <w:vAlign w:val="center"/>
          </w:tcPr>
          <w:p w14:paraId="1B09CD79" w14:textId="77777777" w:rsidR="008C1147" w:rsidRDefault="00A41DA9">
            <w:pPr>
              <w:spacing w:after="0"/>
              <w:jc w:val="center"/>
            </w:pPr>
            <w:r>
              <w:rPr>
                <w:sz w:val="19"/>
              </w:rPr>
              <w:t>55.4%</w:t>
            </w:r>
          </w:p>
        </w:tc>
        <w:tc>
          <w:tcPr>
            <w:tcW w:w="2232" w:type="dxa"/>
            <w:shd w:val="clear" w:color="auto" w:fill="F7F9FC"/>
            <w:tcMar>
              <w:top w:w="100" w:type="dxa"/>
              <w:left w:w="120" w:type="dxa"/>
              <w:bottom w:w="100" w:type="dxa"/>
              <w:right w:w="120" w:type="dxa"/>
            </w:tcMar>
            <w:vAlign w:val="center"/>
          </w:tcPr>
          <w:p w14:paraId="621C4E5B" w14:textId="77777777" w:rsidR="008C1147" w:rsidRDefault="00A41DA9">
            <w:pPr>
              <w:spacing w:after="0"/>
              <w:jc w:val="center"/>
            </w:pPr>
            <w:r>
              <w:rPr>
                <w:sz w:val="19"/>
              </w:rPr>
              <w:t>3%</w:t>
            </w:r>
          </w:p>
        </w:tc>
      </w:tr>
    </w:tbl>
    <w:p w14:paraId="0580AB24" w14:textId="77777777" w:rsidR="00154AB8" w:rsidRDefault="00A41DA9">
      <w:pPr>
        <w:pStyle w:val="Heading3"/>
      </w:pPr>
      <w:r>
        <w:rPr>
          <w:color w:val="2A417B"/>
        </w:rPr>
        <w:t>Key Stage 2 average scaled scores</w:t>
      </w:r>
    </w:p>
    <w:tbl>
      <w:tblPr>
        <w:tblW w:w="0" w:type="auto"/>
        <w:tblLook w:val="04A0" w:firstRow="1" w:lastRow="0" w:firstColumn="1" w:lastColumn="0" w:noHBand="0" w:noVBand="1"/>
      </w:tblPr>
      <w:tblGrid>
        <w:gridCol w:w="6619"/>
        <w:gridCol w:w="1943"/>
        <w:gridCol w:w="1806"/>
      </w:tblGrid>
      <w:tr w:rsidR="00545212" w14:paraId="3135D2DC" w14:textId="3375D7D2" w:rsidTr="00545212">
        <w:tc>
          <w:tcPr>
            <w:tcW w:w="6619" w:type="dxa"/>
            <w:shd w:val="clear" w:color="auto" w:fill="2A417B"/>
            <w:tcMar>
              <w:top w:w="100" w:type="dxa"/>
              <w:left w:w="120" w:type="dxa"/>
              <w:bottom w:w="100" w:type="dxa"/>
              <w:right w:w="120" w:type="dxa"/>
            </w:tcMar>
            <w:vAlign w:val="center"/>
          </w:tcPr>
          <w:p w14:paraId="34322B91" w14:textId="77777777" w:rsidR="00545212" w:rsidRDefault="00545212">
            <w:r>
              <w:rPr>
                <w:b/>
                <w:color w:val="FFFFFF"/>
              </w:rPr>
              <w:t>Subject</w:t>
            </w:r>
          </w:p>
        </w:tc>
        <w:tc>
          <w:tcPr>
            <w:tcW w:w="1943" w:type="dxa"/>
            <w:shd w:val="clear" w:color="auto" w:fill="2A417B"/>
            <w:tcMar>
              <w:top w:w="100" w:type="dxa"/>
              <w:left w:w="120" w:type="dxa"/>
              <w:bottom w:w="100" w:type="dxa"/>
              <w:right w:w="120" w:type="dxa"/>
            </w:tcMar>
            <w:vAlign w:val="center"/>
          </w:tcPr>
          <w:p w14:paraId="03BE28F4" w14:textId="771B39B5" w:rsidR="00545212" w:rsidRDefault="00545212">
            <w:r>
              <w:rPr>
                <w:b/>
                <w:color w:val="FFFFFF"/>
              </w:rPr>
              <w:t>School Average scaled score</w:t>
            </w:r>
          </w:p>
        </w:tc>
        <w:tc>
          <w:tcPr>
            <w:tcW w:w="1806" w:type="dxa"/>
            <w:shd w:val="clear" w:color="auto" w:fill="2A417B"/>
          </w:tcPr>
          <w:p w14:paraId="4AE561BD" w14:textId="7E216FAA" w:rsidR="00545212" w:rsidRDefault="0096500C">
            <w:pPr>
              <w:rPr>
                <w:b/>
                <w:color w:val="FFFFFF"/>
              </w:rPr>
            </w:pPr>
            <w:r>
              <w:rPr>
                <w:b/>
                <w:color w:val="FFFFFF"/>
              </w:rPr>
              <w:t>National Average scaled score</w:t>
            </w:r>
          </w:p>
        </w:tc>
      </w:tr>
      <w:tr w:rsidR="00545212" w14:paraId="213FDA83" w14:textId="5CE37051" w:rsidTr="00545212">
        <w:tc>
          <w:tcPr>
            <w:tcW w:w="6619" w:type="dxa"/>
            <w:tcMar>
              <w:top w:w="100" w:type="dxa"/>
              <w:left w:w="120" w:type="dxa"/>
              <w:bottom w:w="100" w:type="dxa"/>
              <w:right w:w="120" w:type="dxa"/>
            </w:tcMar>
            <w:vAlign w:val="center"/>
          </w:tcPr>
          <w:p w14:paraId="78E720EE" w14:textId="77777777" w:rsidR="00545212" w:rsidRDefault="00545212">
            <w:r>
              <w:rPr>
                <w:b/>
              </w:rPr>
              <w:t>Reading</w:t>
            </w:r>
          </w:p>
        </w:tc>
        <w:tc>
          <w:tcPr>
            <w:tcW w:w="1943" w:type="dxa"/>
            <w:tcMar>
              <w:top w:w="100" w:type="dxa"/>
              <w:left w:w="120" w:type="dxa"/>
              <w:bottom w:w="100" w:type="dxa"/>
              <w:right w:w="120" w:type="dxa"/>
            </w:tcMar>
            <w:vAlign w:val="center"/>
          </w:tcPr>
          <w:p w14:paraId="55E73096" w14:textId="655CC4AD" w:rsidR="00545212" w:rsidRDefault="00545212">
            <w:r>
              <w:t>106.6</w:t>
            </w:r>
          </w:p>
        </w:tc>
        <w:tc>
          <w:tcPr>
            <w:tcW w:w="1806" w:type="dxa"/>
          </w:tcPr>
          <w:p w14:paraId="1C58B968" w14:textId="0FCB9ED1" w:rsidR="00545212" w:rsidRDefault="00545212">
            <w:r>
              <w:t>105.2</w:t>
            </w:r>
          </w:p>
        </w:tc>
      </w:tr>
      <w:tr w:rsidR="00545212" w14:paraId="6C1A3547" w14:textId="12CD866D" w:rsidTr="00545212">
        <w:tc>
          <w:tcPr>
            <w:tcW w:w="6619" w:type="dxa"/>
            <w:shd w:val="clear" w:color="auto" w:fill="F7F9FC"/>
            <w:tcMar>
              <w:top w:w="100" w:type="dxa"/>
              <w:left w:w="120" w:type="dxa"/>
              <w:bottom w:w="100" w:type="dxa"/>
              <w:right w:w="120" w:type="dxa"/>
            </w:tcMar>
            <w:vAlign w:val="center"/>
          </w:tcPr>
          <w:p w14:paraId="29AE9C46" w14:textId="77777777" w:rsidR="00545212" w:rsidRDefault="00545212">
            <w:r>
              <w:rPr>
                <w:b/>
              </w:rPr>
              <w:t>Mathematics</w:t>
            </w:r>
          </w:p>
        </w:tc>
        <w:tc>
          <w:tcPr>
            <w:tcW w:w="1943" w:type="dxa"/>
            <w:shd w:val="clear" w:color="auto" w:fill="F7F9FC"/>
            <w:tcMar>
              <w:top w:w="100" w:type="dxa"/>
              <w:left w:w="120" w:type="dxa"/>
              <w:bottom w:w="100" w:type="dxa"/>
              <w:right w:w="120" w:type="dxa"/>
            </w:tcMar>
            <w:vAlign w:val="center"/>
          </w:tcPr>
          <w:p w14:paraId="2AADE440" w14:textId="6AD636CD" w:rsidR="00545212" w:rsidRDefault="00545212">
            <w:r>
              <w:t>103.6</w:t>
            </w:r>
          </w:p>
        </w:tc>
        <w:tc>
          <w:tcPr>
            <w:tcW w:w="1806" w:type="dxa"/>
            <w:shd w:val="clear" w:color="auto" w:fill="F7F9FC"/>
          </w:tcPr>
          <w:p w14:paraId="71AACD8D" w14:textId="700AF852" w:rsidR="00545212" w:rsidRDefault="00545212">
            <w:r>
              <w:t>104.4</w:t>
            </w:r>
          </w:p>
        </w:tc>
      </w:tr>
    </w:tbl>
    <w:p w14:paraId="447AD051" w14:textId="77777777" w:rsidR="008C1147" w:rsidRDefault="008C1147">
      <w:pPr>
        <w:spacing w:after="20"/>
      </w:pPr>
    </w:p>
    <w:tbl>
      <w:tblPr>
        <w:tblpPr w:leftFromText="180" w:rightFromText="180" w:vertAnchor="text" w:horzAnchor="margin" w:tblpY="74"/>
        <w:tblW w:w="0" w:type="auto"/>
        <w:tblBorders>
          <w:top w:val="single" w:sz="12" w:space="0" w:color="FFD43B"/>
          <w:left w:val="single" w:sz="12" w:space="0" w:color="FFD43B"/>
          <w:bottom w:val="single" w:sz="12" w:space="0" w:color="FFD43B"/>
          <w:right w:val="single" w:sz="12" w:space="0" w:color="FFD43B"/>
          <w:insideH w:val="single" w:sz="12" w:space="0" w:color="FFD43B"/>
          <w:insideV w:val="single" w:sz="12" w:space="0" w:color="FFD43B"/>
        </w:tblBorders>
        <w:tblLook w:val="04A0" w:firstRow="1" w:lastRow="0" w:firstColumn="1" w:lastColumn="0" w:noHBand="0" w:noVBand="1"/>
      </w:tblPr>
      <w:tblGrid>
        <w:gridCol w:w="10338"/>
      </w:tblGrid>
      <w:tr w:rsidR="00545212" w14:paraId="4DBFE221" w14:textId="77777777" w:rsidTr="00545212">
        <w:tc>
          <w:tcPr>
            <w:tcW w:w="10338" w:type="dxa"/>
            <w:shd w:val="clear" w:color="auto" w:fill="FFFBEA"/>
            <w:tcMar>
              <w:top w:w="130" w:type="dxa"/>
              <w:left w:w="170" w:type="dxa"/>
              <w:bottom w:w="130" w:type="dxa"/>
              <w:right w:w="170" w:type="dxa"/>
            </w:tcMar>
          </w:tcPr>
          <w:p w14:paraId="6FB7B1FB" w14:textId="77777777" w:rsidR="00545212" w:rsidRDefault="00545212" w:rsidP="00545212">
            <w:r>
              <w:rPr>
                <w:b/>
                <w:color w:val="2A417B"/>
                <w:sz w:val="24"/>
              </w:rPr>
              <w:t>2024/25 highlights</w:t>
            </w:r>
          </w:p>
          <w:p w14:paraId="7533D45B" w14:textId="77777777" w:rsidR="00545212" w:rsidRDefault="00545212" w:rsidP="00545212">
            <w:pPr>
              <w:ind w:left="216" w:hanging="216"/>
            </w:pPr>
            <w:r>
              <w:t>• 84.6% of pupils met the expected standard in reading, with 40% achieving the higher standard.</w:t>
            </w:r>
          </w:p>
          <w:p w14:paraId="60668FBB" w14:textId="77777777" w:rsidR="00545212" w:rsidRDefault="00545212" w:rsidP="00545212">
            <w:pPr>
              <w:ind w:left="216" w:hanging="216"/>
            </w:pPr>
            <w:r>
              <w:t>• 83% met the expected standard in grammar, punctuation and spelling.</w:t>
            </w:r>
          </w:p>
          <w:p w14:paraId="59A4EFB2" w14:textId="77777777" w:rsidR="00545212" w:rsidRDefault="00545212" w:rsidP="00545212">
            <w:pPr>
              <w:ind w:left="216" w:hanging="216"/>
            </w:pPr>
            <w:r>
              <w:t>• 89% met the expected standard in science.</w:t>
            </w:r>
          </w:p>
          <w:p w14:paraId="278C55AF" w14:textId="77777777" w:rsidR="00545212" w:rsidRDefault="00545212" w:rsidP="00545212">
            <w:pPr>
              <w:ind w:left="216" w:hanging="216"/>
            </w:pPr>
            <w:r>
              <w:t>• 85% of Year 1 pupils met the expected standard in the phonics screening check.</w:t>
            </w:r>
          </w:p>
        </w:tc>
      </w:tr>
    </w:tbl>
    <w:p w14:paraId="36968014" w14:textId="77777777" w:rsidR="008C1147" w:rsidRDefault="008C1147">
      <w:pPr>
        <w:spacing w:after="120"/>
      </w:pPr>
    </w:p>
    <w:p w14:paraId="351ADD98" w14:textId="77777777" w:rsidR="008C1147" w:rsidRDefault="00A41DA9">
      <w:pPr>
        <w:pStyle w:val="Heading1"/>
      </w:pPr>
      <w:r>
        <w:t>Understanding the information</w:t>
      </w:r>
    </w:p>
    <w:p w14:paraId="62B3DFA4" w14:textId="77777777" w:rsidR="008C1147" w:rsidRDefault="00A41DA9">
      <w:pPr>
        <w:spacing w:after="60"/>
      </w:pPr>
      <w:r>
        <w:rPr>
          <w:b/>
          <w:color w:val="2A417B"/>
        </w:rPr>
        <w:t xml:space="preserve">Expected standard: </w:t>
      </w:r>
      <w:r>
        <w:t>The proportion of pupils who met the national expected standard for the relevant assessment.</w:t>
      </w:r>
    </w:p>
    <w:p w14:paraId="29978519" w14:textId="77777777" w:rsidR="008C1147" w:rsidRDefault="00A41DA9">
      <w:pPr>
        <w:spacing w:after="60"/>
      </w:pPr>
      <w:r>
        <w:rPr>
          <w:b/>
          <w:color w:val="2A417B"/>
        </w:rPr>
        <w:t xml:space="preserve">Higher standard: </w:t>
      </w:r>
      <w:r>
        <w:t>The proportion achieving a higher level of attainment. For writing, this is teacher-assessed greater depth within the expected standard.</w:t>
      </w:r>
    </w:p>
    <w:p w14:paraId="34D9E6DA" w14:textId="77777777" w:rsidR="008C1147" w:rsidRDefault="00A41DA9">
      <w:pPr>
        <w:spacing w:after="60"/>
      </w:pPr>
      <w:r>
        <w:rPr>
          <w:b/>
          <w:color w:val="2A417B"/>
        </w:rPr>
        <w:t xml:space="preserve">Small cohorts: </w:t>
      </w:r>
      <w:r>
        <w:t>Percentages should always be read with care because each pupil can represent a noticeable proportion of a cohort.</w:t>
      </w:r>
    </w:p>
    <w:p w14:paraId="2679F9B6" w14:textId="77777777" w:rsidR="008C1147" w:rsidRDefault="00A41DA9">
      <w:pPr>
        <w:pStyle w:val="Heading1"/>
      </w:pPr>
      <w:r>
        <w:t>Further information</w:t>
      </w:r>
    </w:p>
    <w:p w14:paraId="306D7DA8" w14:textId="77777777" w:rsidR="008C1147" w:rsidRDefault="00A41DA9">
      <w:pPr>
        <w:spacing w:after="80"/>
      </w:pPr>
      <w:r>
        <w:t>For the latest published and validated information, including historic performance measures where available, please visit the Department for Education School and College Performance Measures website and search for Stanwix School.</w:t>
      </w:r>
    </w:p>
    <w:p w14:paraId="3717BE3E" w14:textId="58234DF7" w:rsidR="008C1147" w:rsidRDefault="00A41DA9" w:rsidP="00545212">
      <w:r>
        <w:rPr>
          <w:b/>
        </w:rPr>
        <w:t xml:space="preserve">Website link: </w:t>
      </w:r>
      <w:hyperlink r:id="rId8">
        <w:r w:rsidR="008C1147">
          <w:rPr>
            <w:color w:val="6495ED"/>
            <w:u w:val="single"/>
          </w:rPr>
          <w:t>School and College Performance Measures</w:t>
        </w:r>
      </w:hyperlink>
    </w:p>
    <w:sectPr w:rsidR="008C1147" w:rsidSect="00034616">
      <w:headerReference w:type="default" r:id="rId9"/>
      <w:footerReference w:type="default" r:id="rId10"/>
      <w:pgSz w:w="12240" w:h="15840"/>
      <w:pgMar w:top="792" w:right="936" w:bottom="792" w:left="93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3DFE70" w14:textId="77777777" w:rsidR="00A41DA9" w:rsidRDefault="00A41DA9">
      <w:pPr>
        <w:spacing w:after="0" w:line="240" w:lineRule="auto"/>
      </w:pPr>
      <w:r>
        <w:separator/>
      </w:r>
    </w:p>
  </w:endnote>
  <w:endnote w:type="continuationSeparator" w:id="0">
    <w:p w14:paraId="219E4144" w14:textId="77777777" w:rsidR="00A41DA9" w:rsidRDefault="00A41D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F6D3C" w14:textId="77777777" w:rsidR="008C1147" w:rsidRDefault="00A41DA9">
    <w:pPr>
      <w:pStyle w:val="Footer"/>
      <w:jc w:val="center"/>
    </w:pPr>
    <w:r>
      <w:rPr>
        <w:color w:val="667085"/>
        <w:sz w:val="16"/>
      </w:rPr>
      <w:t xml:space="preserve">Stanwix </w:t>
    </w:r>
    <w:proofErr w:type="gramStart"/>
    <w:r>
      <w:rPr>
        <w:color w:val="667085"/>
        <w:sz w:val="16"/>
      </w:rPr>
      <w:t>School  |</w:t>
    </w:r>
    <w:proofErr w:type="gramEnd"/>
    <w:r>
      <w:rPr>
        <w:color w:val="667085"/>
        <w:sz w:val="16"/>
      </w:rPr>
      <w:t xml:space="preserve">  Ambition • Belonging • Kindness • Joy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B438C9" w14:textId="77777777" w:rsidR="00A41DA9" w:rsidRDefault="00A41DA9">
      <w:pPr>
        <w:spacing w:after="0" w:line="240" w:lineRule="auto"/>
      </w:pPr>
      <w:r>
        <w:separator/>
      </w:r>
    </w:p>
  </w:footnote>
  <w:footnote w:type="continuationSeparator" w:id="0">
    <w:p w14:paraId="5B978EEE" w14:textId="77777777" w:rsidR="00A41DA9" w:rsidRDefault="00A41D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DDA50" w14:textId="77777777" w:rsidR="008C1147" w:rsidRDefault="008C1147">
    <w:pPr>
      <w:pStyle w:val="Header"/>
    </w:pPr>
  </w:p>
  <w:tbl>
    <w:tblPr>
      <w:tblW w:w="0" w:type="auto"/>
      <w:jc w:val="center"/>
      <w:tblLook w:val="04A0" w:firstRow="1" w:lastRow="0" w:firstColumn="1" w:lastColumn="0" w:noHBand="0" w:noVBand="1"/>
    </w:tblPr>
    <w:tblGrid>
      <w:gridCol w:w="1152"/>
      <w:gridCol w:w="3456"/>
      <w:gridCol w:w="3456"/>
    </w:tblGrid>
    <w:tr w:rsidR="008C1147" w14:paraId="4C5B75D6" w14:textId="77777777">
      <w:trPr>
        <w:jc w:val="center"/>
      </w:trPr>
      <w:tc>
        <w:tcPr>
          <w:tcW w:w="1152" w:type="dxa"/>
          <w:tcMar>
            <w:top w:w="50" w:type="dxa"/>
            <w:left w:w="60" w:type="dxa"/>
            <w:bottom w:w="50" w:type="dxa"/>
            <w:right w:w="60" w:type="dxa"/>
          </w:tcMar>
        </w:tcPr>
        <w:p w14:paraId="129D24EE" w14:textId="77777777" w:rsidR="008C1147" w:rsidRDefault="00A41DA9">
          <w:r>
            <w:rPr>
              <w:noProof/>
            </w:rPr>
            <w:drawing>
              <wp:inline distT="0" distB="0" distL="0" distR="0" wp14:anchorId="2B5A2D85" wp14:editId="3D9118FD">
                <wp:extent cx="566928" cy="56097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1"/>
                        <a:stretch>
                          <a:fillRect/>
                        </a:stretch>
                      </pic:blipFill>
                      <pic:spPr>
                        <a:xfrm>
                          <a:off x="0" y="0"/>
                          <a:ext cx="566928" cy="560973"/>
                        </a:xfrm>
                        <a:prstGeom prst="rect">
                          <a:avLst/>
                        </a:prstGeom>
                      </pic:spPr>
                    </pic:pic>
                  </a:graphicData>
                </a:graphic>
              </wp:inline>
            </w:drawing>
          </w:r>
        </w:p>
      </w:tc>
      <w:tc>
        <w:tcPr>
          <w:tcW w:w="3456" w:type="dxa"/>
          <w:tcMar>
            <w:top w:w="50" w:type="dxa"/>
            <w:left w:w="60" w:type="dxa"/>
            <w:bottom w:w="50" w:type="dxa"/>
            <w:right w:w="60" w:type="dxa"/>
          </w:tcMar>
          <w:vAlign w:val="center"/>
        </w:tcPr>
        <w:p w14:paraId="319E674C" w14:textId="77777777" w:rsidR="008C1147" w:rsidRDefault="00A41DA9">
          <w:pPr>
            <w:spacing w:after="0"/>
          </w:pPr>
          <w:r>
            <w:rPr>
              <w:b/>
              <w:color w:val="2A417B"/>
              <w:sz w:val="22"/>
            </w:rPr>
            <w:t xml:space="preserve">STANWIX </w:t>
          </w:r>
          <w:proofErr w:type="gramStart"/>
          <w:r>
            <w:rPr>
              <w:b/>
              <w:color w:val="2A417B"/>
              <w:sz w:val="22"/>
            </w:rPr>
            <w:t>SCHOOL  |</w:t>
          </w:r>
          <w:proofErr w:type="gramEnd"/>
          <w:r>
            <w:rPr>
              <w:b/>
              <w:color w:val="2A417B"/>
              <w:sz w:val="22"/>
            </w:rPr>
            <w:t xml:space="preserve">  PUPIL OUTCOMES</w:t>
          </w:r>
        </w:p>
      </w:tc>
      <w:tc>
        <w:tcPr>
          <w:tcW w:w="3456" w:type="dxa"/>
          <w:tcMar>
            <w:top w:w="50" w:type="dxa"/>
            <w:left w:w="60" w:type="dxa"/>
            <w:bottom w:w="50" w:type="dxa"/>
            <w:right w:w="60" w:type="dxa"/>
          </w:tcMar>
          <w:vAlign w:val="center"/>
        </w:tcPr>
        <w:p w14:paraId="24EDA83A" w14:textId="77777777" w:rsidR="008C1147" w:rsidRDefault="00A41DA9">
          <w:pPr>
            <w:spacing w:after="0"/>
            <w:jc w:val="right"/>
          </w:pPr>
          <w:r>
            <w:rPr>
              <w:b/>
              <w:color w:val="2A417B"/>
              <w:sz w:val="16"/>
            </w:rPr>
            <w:t>TOGETHER WE LEARN</w:t>
          </w:r>
          <w:r>
            <w:rPr>
              <w:b/>
              <w:color w:val="2A417B"/>
              <w:sz w:val="16"/>
            </w:rPr>
            <w:br/>
            <w:t>TOGETHER WE GROW</w:t>
          </w:r>
          <w:r>
            <w:rPr>
              <w:b/>
              <w:color w:val="2A417B"/>
              <w:sz w:val="16"/>
            </w:rPr>
            <w:br/>
            <w:t>TOGETHER WE THRIVE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80340962">
    <w:abstractNumId w:val="8"/>
  </w:num>
  <w:num w:numId="2" w16cid:durableId="2110421380">
    <w:abstractNumId w:val="6"/>
  </w:num>
  <w:num w:numId="3" w16cid:durableId="2134246609">
    <w:abstractNumId w:val="5"/>
  </w:num>
  <w:num w:numId="4" w16cid:durableId="1302879176">
    <w:abstractNumId w:val="4"/>
  </w:num>
  <w:num w:numId="5" w16cid:durableId="886650291">
    <w:abstractNumId w:val="7"/>
  </w:num>
  <w:num w:numId="6" w16cid:durableId="1341932616">
    <w:abstractNumId w:val="3"/>
  </w:num>
  <w:num w:numId="7" w16cid:durableId="1996176527">
    <w:abstractNumId w:val="2"/>
  </w:num>
  <w:num w:numId="8" w16cid:durableId="1852599980">
    <w:abstractNumId w:val="1"/>
  </w:num>
  <w:num w:numId="9" w16cid:durableId="3006155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54AB8"/>
    <w:rsid w:val="0029639D"/>
    <w:rsid w:val="002B111F"/>
    <w:rsid w:val="002E75B2"/>
    <w:rsid w:val="00326F90"/>
    <w:rsid w:val="003A32C7"/>
    <w:rsid w:val="00545212"/>
    <w:rsid w:val="005E724A"/>
    <w:rsid w:val="006D7C5E"/>
    <w:rsid w:val="006E5118"/>
    <w:rsid w:val="00846855"/>
    <w:rsid w:val="008B298B"/>
    <w:rsid w:val="008C1147"/>
    <w:rsid w:val="008E22F0"/>
    <w:rsid w:val="0096500C"/>
    <w:rsid w:val="00A41DA9"/>
    <w:rsid w:val="00AA1D8D"/>
    <w:rsid w:val="00B47730"/>
    <w:rsid w:val="00CB0664"/>
    <w:rsid w:val="00CE7F71"/>
    <w:rsid w:val="00D930E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D291D3"/>
  <w14:defaultImageDpi w14:val="300"/>
  <w15:docId w15:val="{05B902E6-2C4B-4EEE-8718-7B82501B4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color w:val="24324A"/>
      <w:sz w:val="20"/>
    </w:rPr>
  </w:style>
  <w:style w:type="paragraph" w:styleId="Heading1">
    <w:name w:val="heading 1"/>
    <w:basedOn w:val="Normal"/>
    <w:next w:val="Normal"/>
    <w:link w:val="Heading1Char"/>
    <w:uiPriority w:val="9"/>
    <w:qFormat/>
    <w:rsid w:val="00FC693F"/>
    <w:pPr>
      <w:keepNext/>
      <w:keepLines/>
      <w:spacing w:before="120" w:after="100"/>
      <w:outlineLvl w:val="0"/>
    </w:pPr>
    <w:rPr>
      <w:rFonts w:asciiTheme="majorHAnsi" w:eastAsiaTheme="majorEastAsia" w:hAnsiTheme="majorHAnsi" w:cstheme="majorBidi"/>
      <w:b/>
      <w:bCs/>
      <w:color w:val="2A417B"/>
      <w:sz w:val="32"/>
      <w:szCs w:val="28"/>
    </w:rPr>
  </w:style>
  <w:style w:type="paragraph" w:styleId="Heading2">
    <w:name w:val="heading 2"/>
    <w:basedOn w:val="Normal"/>
    <w:next w:val="Normal"/>
    <w:link w:val="Heading2Char"/>
    <w:uiPriority w:val="9"/>
    <w:unhideWhenUsed/>
    <w:qFormat/>
    <w:rsid w:val="00FC693F"/>
    <w:pPr>
      <w:keepNext/>
      <w:keepLines/>
      <w:spacing w:before="120" w:after="100"/>
      <w:outlineLvl w:val="1"/>
    </w:pPr>
    <w:rPr>
      <w:rFonts w:asciiTheme="majorHAnsi" w:eastAsiaTheme="majorEastAsia" w:hAnsiTheme="majorHAnsi" w:cstheme="majorBidi"/>
      <w:b/>
      <w:bCs/>
      <w:color w:val="6495ED"/>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120" w:after="100" w:line="240" w:lineRule="auto"/>
      <w:contextualSpacing/>
    </w:pPr>
    <w:rPr>
      <w:rFonts w:asciiTheme="majorHAnsi" w:eastAsiaTheme="majorEastAsia" w:hAnsiTheme="majorHAnsi" w:cstheme="majorBidi"/>
      <w:b/>
      <w:color w:val="2A417B"/>
      <w:spacing w:val="5"/>
      <w:kern w:val="28"/>
      <w:sz w:val="5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pare-school-performance.service.gov.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363</Words>
  <Characters>2072</Characters>
  <Application>Microsoft Office Word</Application>
  <DocSecurity>4</DocSecurity>
  <Lines>17</Lines>
  <Paragraphs>4</Paragraphs>
  <ScaleCrop>false</ScaleCrop>
  <HeadingPairs>
    <vt:vector size="2" baseType="variant">
      <vt:variant>
        <vt:lpstr>Title</vt:lpstr>
      </vt:variant>
      <vt:variant>
        <vt:i4>1</vt:i4>
      </vt:variant>
    </vt:vector>
  </HeadingPairs>
  <TitlesOfParts>
    <vt:vector size="1" baseType="lpstr">
      <vt:lpstr>Stanwix School Published Pupil Outcomes 2024/25</vt:lpstr>
    </vt:vector>
  </TitlesOfParts>
  <Manager/>
  <Company/>
  <LinksUpToDate>false</LinksUpToDate>
  <CharactersWithSpaces>2431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Stanwix School Published Pupil Outcomes 2024/25</dc:title>
  <dc:subject>Website publication of headline statutory assessment outcomes</dc:subject>
  <dc:creator>Darren Glynn</dc:creator>
  <cp:keywords/>
  <dc:description>generated by python-docx</dc:description>
  <cp:lastModifiedBy>Jen Barry</cp:lastModifiedBy>
  <cp:revision>2</cp:revision>
  <dcterms:created xsi:type="dcterms:W3CDTF">2026-09-27T09:16:00Z</dcterms:created>
  <dcterms:modified xsi:type="dcterms:W3CDTF">2026-09-27T09:16:00Z</dcterms:modified>
  <cp:category/>
</cp:coreProperties>
</file>